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</w:p>
    <w:p>
      <w:pPr>
        <w:widowControl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2016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下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半年会展业发展专项资金申请表</w:t>
      </w:r>
    </w:p>
    <w:p>
      <w:pPr>
        <w:widowControl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eastAsia="zh-CN"/>
        </w:rPr>
        <w:t>外出参展类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）</w:t>
      </w:r>
    </w:p>
    <w:bookmarkEnd w:id="0"/>
    <w:tbl>
      <w:tblPr>
        <w:tblStyle w:val="4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410"/>
        <w:gridCol w:w="680"/>
        <w:gridCol w:w="760"/>
        <w:gridCol w:w="1290"/>
        <w:gridCol w:w="166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参展邀请文件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举办时间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举办地点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主办单位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协办单位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展会规模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/展位数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展会成交额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组团参展单位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单位负责人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展览面积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（㎡）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展位单价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参展展位数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（个）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参展内容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参展支出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申请补助金额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879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确认并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承诺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提供的申报资料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主要负责人签字：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879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示范区会展业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领导小组办公室初审意见：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示范区会展业发展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领导小组审定意见：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5303E"/>
    <w:rsid w:val="248530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2016-11-22T00:31:00Z</dcterms:created>
  <dc:creator>Administrator</dc:creator>
  <cp:lastModifiedBy>Administrator</cp:lastModifiedBy>
  <dcterms:modified xsi:type="dcterms:W3CDTF">2016-11-22T00:31:58Z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